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QUÍMICA NUCLEAR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Atomística.</w:t>
              <w:br/>
              <w:t>2.</w:t>
              <w:tab/>
              <w:t>Princípios da Radioatividade.</w:t>
              <w:br/>
              <w:t>3.</w:t>
              <w:tab/>
              <w:t>Leis da transformação radioativa.</w:t>
              <w:br/>
              <w:t>4.</w:t>
              <w:tab/>
              <w:t>Reações nucleares.</w:t>
              <w:br/>
              <w:t>5.</w:t>
              <w:tab/>
              <w:t>Princípios de proteção contra radiações ionizantes.</w:t>
              <w:br/>
              <w:t>6.</w:t>
              <w:tab/>
              <w:t>Aplicações nucleares nas diferentes áreas do conhecimento.</w:t>
              <w:br/>
              <w:t>7.</w:t>
              <w:tab/>
              <w:t>Radioquímica de radionuclídeos naturais.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ABREU, M. P. Átomos, Núcleos e Radiação. Tópicos da Física Atômica e Nuclear. Clube de Autores, 2018, 158 p. ISBN-10: 8591850114, ISBN-13: 978-8591850112.</w:t>
              <w:br/>
              <w:t>2.</w:t>
              <w:tab/>
              <w:t>AHMED, S. N. Physics and Engineering of Radiation Detection. 2 ed. Elsevier, 2014. 784 p. ISBN-10: 012801363X, ISBN-13: 978-0128013632.</w:t>
              <w:br/>
              <w:t>3.</w:t>
              <w:tab/>
              <w:t>ATKINS, P. &amp; JONES, L. Princípios de Química. Porto Alegre, Bookman, 2001. KAPLAN, I. Física Nuclear. Trad. de José Goldenberg, 2ª ed., Rio de Janeiro, Guanabara Dois, 1978.</w:t>
              <w:br/>
              <w:t>4.</w:t>
              <w:tab/>
              <w:t>ATTlX, F. H. Introduction to radiological physics and radiation dosimetry.1 ed. John Wiley &amp; Sons, Inc., 1986, 628 p. ISBN-13: 978-0-471-01 146-0, ISBN-10: 0-471-01 146-0.</w:t>
              <w:br/>
              <w:t>5.</w:t>
              <w:tab/>
              <w:t>BAIRD, C.; CANN, M. Química Ambiental. Porto Alegre: Bookman, 4 ed., 2011. 844p.</w:t>
              <w:br/>
              <w:t>6.</w:t>
              <w:tab/>
              <w:t>BUSHONG, S. C. Radiologic Science for Technologists: Physics, Biology and Protection, 8 ed. Mosby, 2004, 656 p. ISBN-10: 0323025552, ISBN-13: 978-0323025553.</w:t>
              <w:br/>
              <w:t>7.</w:t>
              <w:tab/>
              <w:t>EISENBUD, M.; GESELL, T. Environmental Radioactivity: from natural, industrial, and military sources. New York: Academic Press, 1997. 656 p.</w:t>
              <w:br/>
              <w:t>8.</w:t>
              <w:tab/>
              <w:t>EMICO, O.; YOSHIMURA, E. Física das Radiações. 1 ed.  Editora Oficina de Textos, 2010, 296 p. ISBN-10: 8579750059, ISBN-13: 978-8579750052.</w:t>
              <w:br/>
              <w:t>9.</w:t>
              <w:tab/>
              <w:t>IAEA. Live Chart of Nuclides: nuclear structure and decay data. Acesso em: https://nds.iaea.org/relnsd/vcharthtml/VChartHTML.html.</w:t>
              <w:br/>
              <w:t>10.</w:t>
              <w:tab/>
              <w:t>KAHN, B. Radioanalytical Chemistry. 2007. 2007 ed. Springer, 2006, 481 p. ISBN-10: 9780387341224, ISBN-13: 978-0387341224.</w:t>
              <w:br/>
              <w:t>11.</w:t>
              <w:tab/>
              <w:t>KNOLL, G. F. Radiation Detection and Measurement. 4 ed. John Wiley &amp; Sons, 2010. 864 p. ISBN-10: 9780470131480, ISBN-13: 978-0470131480.</w:t>
              <w:br/>
              <w:t>12.</w:t>
              <w:tab/>
              <w:t>MAHAN, B. M. &amp; MYERS, R. J. Química – Um Curso Universitário. Trad. Da 4a. edição Americana, São Paulo, Edgard Blucher Ltda, 2003.</w:t>
              <w:br/>
              <w:t>13.</w:t>
              <w:tab/>
              <w:t>SÓTI, Z.; MAGILL, J.; DREHER, R. Karlsruhe Nuclide Chart - New 10th edition 2018. EPJ Nuclear Sci. Technol. v. 5, n. 6, p. 1-11, 2019.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